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2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ПРОЕКТ ПОСТАНОВЛЕНИЯ</w:t>
      </w:r>
    </w:p>
    <w:p>
      <w:pPr>
        <w:pStyle w:val="Normal"/>
        <w:ind w:left="72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72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72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72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72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72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72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8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uppressAutoHyphens w:val="true"/>
        <w:ind w:firstLine="708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принятия решения о предоставлении субсидии из бюджета муниципального образования Кореновский район бюджетных инвестиций юридическим лицам, не являющимся муниципальными учреждениями и 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 </w:t>
      </w:r>
    </w:p>
    <w:p>
      <w:pPr>
        <w:pStyle w:val="Normal"/>
        <w:suppressAutoHyphens w:val="true"/>
        <w:ind w:left="7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абзацем 2 пункта 1 статьи 80 Бюджетного кодекса Российской Федерации, руководствуясь Уставом муниципального образования Кореновский район администрация муниципального образования Кореновский район п о с т а н о в л я е т:</w:t>
      </w:r>
      <w:bookmarkStart w:id="0" w:name="sub_1"/>
    </w:p>
    <w:p>
      <w:pPr>
        <w:pStyle w:val="Normal"/>
        <w:suppressAutoHyphens w:val="tru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fldChar w:fldCharType="begin"/>
      </w:r>
      <w:r>
        <w:rPr>
          <w:sz w:val="28"/>
          <w:u w:val="none"/>
          <w:szCs w:val="28"/>
          <w:color w:val="auto"/>
        </w:rPr>
        <w:instrText> HYPERLINK "../../../../../../../../WINDOWS/TEMP/Rar$DI03.216/%D0%9F%D0%BE%D1%81%D1%82%D0%B0%D0%BD%D0%BE%D0%B2%D0%BB%D0%B5%D0%BD%D0%B8%D0%B5%20%D0%BE%D0%B1%20%D0%BE%D1%81%D1%83%D1%89%D0%B5%D1%81%D1%82%D0%B2%D0%BB%D0%B5%D0%BD%D0%B8%D0%B8%20%D0%B1%D1%8E%D0%B4.%20%D0%B8%D0%BD%D0%B2%D0%B5%D1%81%D1%82%D0%B8%D1%86%D0%B8%D0%B9%E2%84%96%20864%20%D0%BE%D1%82%20020714.rtf" \l "sub_100%23sub_100"</w:instrText>
      </w:r>
      <w:r>
        <w:rPr>
          <w:sz w:val="28"/>
          <w:u w:val="none"/>
          <w:szCs w:val="28"/>
          <w:color w:val="auto"/>
        </w:rPr>
        <w:fldChar w:fldCharType="separate"/>
      </w:r>
      <w:r>
        <w:rPr>
          <w:color w:val="auto"/>
          <w:sz w:val="28"/>
          <w:szCs w:val="28"/>
          <w:u w:val="none"/>
        </w:rPr>
        <w:t>Порядок</w:t>
      </w:r>
      <w:r>
        <w:rPr>
          <w:sz w:val="28"/>
          <w:u w:val="none"/>
          <w:szCs w:val="28"/>
          <w:color w:val="auto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принятия решения о предоставлении из бюджета муниципального образования Кореновский район бюджетных инвестиций юридическим лицам, не являющимся муниципальными учреждениями и 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 (приложение)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uppressAutoHyphens w:val="true"/>
        <w:ind w:firstLine="709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Контроль за выполнением настоящего постановления возложить на заместителя главы муниципального образования Кореновский район                С.В. Колупайко.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Постановление вступает в силу после его официального опубликования.</w:t>
      </w:r>
    </w:p>
    <w:p>
      <w:pPr>
        <w:pStyle w:val="Normal"/>
        <w:ind w:right="-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359"/>
        <w:gridCol w:w="3279"/>
      </w:tblGrid>
      <w:tr>
        <w:trPr/>
        <w:tc>
          <w:tcPr>
            <w:tcW w:w="6359" w:type="dxa"/>
            <w:tcBorders/>
          </w:tcPr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napToGrid w:val="false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Кореновский район  </w:t>
            </w:r>
          </w:p>
        </w:tc>
        <w:tc>
          <w:tcPr>
            <w:tcW w:w="3279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ind w:hang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ind w:left="5387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>
      <w:pPr>
        <w:pStyle w:val="Normal"/>
        <w:ind w:left="5387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5387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5387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УТВЕРЖДЁН</w:t>
      </w:r>
    </w:p>
    <w:p>
      <w:pPr>
        <w:pStyle w:val="Normal"/>
        <w:ind w:left="5387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>
      <w:pPr>
        <w:pStyle w:val="Normal"/>
        <w:ind w:left="5387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ind w:left="5387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Normal"/>
        <w:ind w:left="5387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  № ________</w:t>
      </w:r>
    </w:p>
    <w:p>
      <w:pPr>
        <w:pStyle w:val="Normal"/>
        <w:ind w:left="7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7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ind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принятия решения о предоставлении из бюджета муниципального образования Кореновский</w:t>
        <w:tab/>
        <w:t xml:space="preserve"> район бюджетных инвестиций юридическим лицам, не являющимся муниципальными учреждениями 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>
        <w:rPr>
          <w:rFonts w:ascii="Times New Roman" w:hAnsi="Times New Roman"/>
          <w:b/>
          <w:sz w:val="28"/>
          <w:szCs w:val="28"/>
        </w:rPr>
        <w:t>(их дочерних обществ)</w:t>
      </w:r>
      <w:r>
        <w:rPr>
          <w:rFonts w:ascii="Times New Roman" w:hAnsi="Times New Roman"/>
          <w:b/>
          <w:bCs/>
          <w:sz w:val="28"/>
          <w:szCs w:val="28"/>
        </w:rPr>
        <w:t>, и (или) на приобретение ими объектов недвижимого имущества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устанавливает процедуру принятия решения о предоставлении из бюджета муниципального образования Кореновский район  бюджетных инвестиций юридическим лицам, не являющимся муниципальными учреждениями 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лиц(их дочерних обществ), и (или) на приобретение ими объектов недвижимого имущества (далее соответственно –Порядок, решение, юридические лица).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принимается исходя из целей и задач, содержащихся в документах стратегического планирования муниципального образования Кореновский район, поручений главы муниципального образования Кореновский район.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принимается в форме постановления администрации муниципального образования Кореновский район.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Инициатором подготовки проекта решения выступает главный распорядитель средств бюджета муниципального образования Кореновский район, наделенный в установленном порядке полномочиями в соответствующей сфере ведения (далее - главный распорядитель).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проекте решения в том числе определяются: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главного распорядителя, до которого как получателя средств бюджета муниципального образования Кореновский район 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лицам;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наименование юридического лица;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bookmarkStart w:id="1" w:name="p49"/>
      <w:bookmarkEnd w:id="1"/>
      <w:r>
        <w:rPr>
          <w:rFonts w:ascii="Times New Roman" w:hAnsi="Times New Roman"/>
          <w:sz w:val="28"/>
          <w:szCs w:val="28"/>
        </w:rPr>
        <w:t>в) 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проекта или программы, указанных в </w:t>
      </w:r>
      <w:hyperlink w:anchor="p49">
        <w:r>
          <w:rPr>
            <w:rFonts w:ascii="Times New Roman" w:hAnsi="Times New Roman"/>
            <w:sz w:val="28"/>
            <w:szCs w:val="28"/>
          </w:rPr>
          <w:t>подпункте «в»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 (в случае, если бюджетные инвестиции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 (при возможности установления таких показателей);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иные показатели, достижение которых должно быть обеспечено юридическим лицом (при необходимости);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bookmarkStart w:id="2" w:name="p55"/>
      <w:bookmarkEnd w:id="2"/>
      <w:r>
        <w:rPr>
          <w:rFonts w:ascii="Times New Roman" w:hAnsi="Times New Roman"/>
          <w:sz w:val="28"/>
          <w:szCs w:val="28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bookmarkStart w:id="3" w:name="p57"/>
      <w:bookmarkEnd w:id="3"/>
      <w:r>
        <w:rPr>
          <w:rFonts w:ascii="Times New Roman" w:hAnsi="Times New Roman"/>
          <w:sz w:val="28"/>
          <w:szCs w:val="28"/>
        </w:rPr>
        <w:t>б) у юридического лица отсутствуют просроченная задолженность по возврату в бюджет муниципального образования Кореновский район субсидий, бюджетных инвестиций, предоставленных в том числе в соответствии с иными нормативными правовыми актами, и иная просроченная задолженность перед бюджетом муниципального образования Кореновский район;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юридическому лицу не предоставляются средства из бюджета муниципального образования Кореновский район на основании иных нормативных правовых актов на цели, указанные в проекте решения в соответствии с </w:t>
      </w:r>
      <w:hyperlink w:anchor="p49">
        <w:r>
          <w:rPr>
            <w:rFonts w:ascii="Times New Roman" w:hAnsi="Times New Roman"/>
            <w:sz w:val="28"/>
            <w:szCs w:val="28"/>
          </w:rPr>
          <w:t>подпунктом «в» пункта 5</w:t>
        </w:r>
      </w:hyperlink>
      <w:r>
        <w:rPr>
          <w:rFonts w:ascii="Times New Roman" w:hAnsi="Times New Roman"/>
          <w:sz w:val="28"/>
          <w:szCs w:val="28"/>
        </w:rPr>
        <w:t xml:space="preserve"> Порядка.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Главный распорядитель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55">
        <w:r>
          <w:rPr>
            <w:rFonts w:ascii="Times New Roman" w:hAnsi="Times New Roman"/>
            <w:sz w:val="28"/>
            <w:szCs w:val="28"/>
          </w:rPr>
          <w:t>пункте 6</w:t>
        </w:r>
      </w:hyperlink>
      <w:r>
        <w:rPr>
          <w:rFonts w:ascii="Times New Roman" w:hAnsi="Times New Roman"/>
          <w:sz w:val="28"/>
          <w:szCs w:val="28"/>
        </w:rPr>
        <w:t xml:space="preserve"> Порядка: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p57">
        <w:r>
          <w:rPr>
            <w:rFonts w:ascii="Times New Roman" w:hAnsi="Times New Roman"/>
            <w:sz w:val="28"/>
            <w:szCs w:val="28"/>
          </w:rPr>
          <w:t>подпунктом «б» пункта 6</w:t>
        </w:r>
      </w:hyperlink>
      <w:r>
        <w:rPr>
          <w:rFonts w:ascii="Times New Roman" w:hAnsi="Times New Roman"/>
          <w:sz w:val="28"/>
          <w:szCs w:val="28"/>
        </w:rPr>
        <w:t xml:space="preserve"> Порядка;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bookmarkStart w:id="4" w:name="p66"/>
      <w:bookmarkEnd w:id="4"/>
      <w:r>
        <w:rPr>
          <w:rFonts w:ascii="Times New Roman" w:hAnsi="Times New Roman"/>
          <w:sz w:val="28"/>
          <w:szCs w:val="28"/>
        </w:rPr>
        <w:t>8. Проект решения подлежит согласованию с финансовым управление администрации муниципального образования Кореновский район в порядке и сроки, установленные инструкцией по делопроизводству в администрации муниципального образования Кореновский район.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Проект решения направляется главным распорядителем на согласование одновременно с пояснительной запиской, финансово-экономическим обоснованием и следующими документами: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документ, содержащий сведения о наличии в муниципальной собственности муниципального образования Кореновский район 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Проект решения, согласованный с финансовым управлением администрации муниципального образования Кореновский район направляется на рассмотрение и подписание главе муниципального образования Кореновский район или уполномоченному им лицу,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 Совета муниципального образования Кореновский район о бюджете муниципального образования Кореновский район 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решения Совета муниципального образования Кореновский район о внесении изменений в бюджет муниципального образования Кореновский район на текущий финансовый год и плановый период, - не позднее 10 рабочих дней после принятия указанного решения о внесении изменений в бюджет муниципального образования Кореновский район на текущий финансовый год и плановый период.</w:t>
      </w:r>
    </w:p>
    <w:p>
      <w:pPr>
        <w:pStyle w:val="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ind w:hanging="0"/>
        <w:rPr>
          <w:rStyle w:val="Style16"/>
          <w:rFonts w:ascii="Times New Roman" w:hAnsi="Times New Roman"/>
          <w:b w:val="false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</w:p>
    <w:p>
      <w:pPr>
        <w:pStyle w:val="Normal"/>
        <w:ind w:hanging="0"/>
        <w:rPr>
          <w:rStyle w:val="Style16"/>
          <w:rFonts w:ascii="Times New Roman" w:hAnsi="Times New Roman"/>
          <w:b w:val="false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</w:p>
    <w:p>
      <w:pPr>
        <w:pStyle w:val="Normal"/>
        <w:ind w:hanging="0"/>
        <w:rPr>
          <w:rStyle w:val="Style16"/>
          <w:rFonts w:ascii="Times New Roman" w:hAnsi="Times New Roman"/>
          <w:b w:val="false"/>
          <w:b w:val="false"/>
          <w:bCs/>
          <w:color w:val="000000"/>
          <w:sz w:val="28"/>
          <w:szCs w:val="28"/>
        </w:rPr>
      </w:pPr>
      <w:r>
        <w:rPr>
          <w:rStyle w:val="Style16"/>
          <w:rFonts w:ascii="Times New Roman" w:hAnsi="Times New Roman"/>
          <w:b w:val="false"/>
          <w:bCs/>
          <w:color w:val="000000"/>
          <w:sz w:val="28"/>
          <w:szCs w:val="28"/>
        </w:rPr>
        <w:t>Начальник финансового управления</w:t>
      </w:r>
    </w:p>
    <w:p>
      <w:pPr>
        <w:pStyle w:val="Normal"/>
        <w:ind w:hanging="0"/>
        <w:rPr>
          <w:rStyle w:val="Style16"/>
          <w:rFonts w:ascii="Times New Roman" w:hAnsi="Times New Roman"/>
          <w:b w:val="false"/>
          <w:b w:val="false"/>
          <w:bCs/>
          <w:color w:val="000000"/>
          <w:sz w:val="28"/>
          <w:szCs w:val="28"/>
        </w:rPr>
      </w:pPr>
      <w:r>
        <w:rPr>
          <w:rStyle w:val="Style16"/>
          <w:rFonts w:ascii="Times New Roman" w:hAnsi="Times New Roman"/>
          <w:b w:val="false"/>
          <w:bCs/>
          <w:color w:val="000000"/>
          <w:sz w:val="28"/>
          <w:szCs w:val="28"/>
        </w:rPr>
        <w:t>администрации муниципального</w:t>
      </w:r>
    </w:p>
    <w:p>
      <w:pPr>
        <w:pStyle w:val="Normal"/>
        <w:ind w:hanging="0"/>
        <w:rPr>
          <w:rStyle w:val="Style16"/>
          <w:rFonts w:ascii="Times New Roman" w:hAnsi="Times New Roman"/>
          <w:b w:val="false"/>
          <w:b w:val="false"/>
          <w:bCs/>
          <w:color w:val="000000"/>
          <w:sz w:val="28"/>
          <w:szCs w:val="28"/>
        </w:rPr>
      </w:pPr>
      <w:r>
        <w:rPr>
          <w:rStyle w:val="Style16"/>
          <w:rFonts w:ascii="Times New Roman" w:hAnsi="Times New Roman"/>
          <w:b w:val="false"/>
          <w:bCs/>
          <w:color w:val="000000"/>
          <w:sz w:val="28"/>
          <w:szCs w:val="28"/>
        </w:rPr>
        <w:t xml:space="preserve">образования Кореновский район                                                      А.Н. Черненко           </w:t>
      </w:r>
    </w:p>
    <w:p>
      <w:pPr>
        <w:pStyle w:val="Normal"/>
        <w:ind w:hanging="0"/>
        <w:rPr>
          <w:rStyle w:val="Style16"/>
          <w:rFonts w:ascii="Times New Roman" w:hAnsi="Times New Roman"/>
          <w:b w:val="false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</w:p>
    <w:p>
      <w:pPr>
        <w:pStyle w:val="Normal"/>
        <w:ind w:hanging="0"/>
        <w:rPr>
          <w:rStyle w:val="Style16"/>
          <w:rFonts w:ascii="Times New Roman" w:hAnsi="Times New Roman"/>
          <w:b w:val="false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</w:p>
    <w:p>
      <w:pPr>
        <w:pStyle w:val="Normal"/>
        <w:ind w:hanging="0"/>
        <w:rPr>
          <w:rStyle w:val="Style16"/>
          <w:rFonts w:ascii="Times New Roman" w:hAnsi="Times New Roman"/>
          <w:b w:val="false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</w:p>
    <w:p>
      <w:pPr>
        <w:pStyle w:val="Normal"/>
        <w:ind w:hanging="0"/>
        <w:rPr>
          <w:rStyle w:val="Style16"/>
          <w:rFonts w:ascii="Times New Roman" w:hAnsi="Times New Roman"/>
          <w:b w:val="false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</w:p>
    <w:p>
      <w:pPr>
        <w:pStyle w:val="Normal"/>
        <w:ind w:hanging="0"/>
        <w:rPr>
          <w:rStyle w:val="Style16"/>
          <w:rFonts w:ascii="Times New Roman" w:hAnsi="Times New Roman"/>
          <w:b w:val="false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</w:p>
    <w:p>
      <w:pPr>
        <w:pStyle w:val="Normal"/>
        <w:ind w:hanging="0"/>
        <w:rPr>
          <w:rStyle w:val="Style16"/>
          <w:rFonts w:ascii="Times New Roman" w:hAnsi="Times New Roman"/>
          <w:b w:val="false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</w:p>
    <w:p>
      <w:pPr>
        <w:pStyle w:val="Normal"/>
        <w:ind w:hanging="0"/>
        <w:rPr>
          <w:rStyle w:val="Style16"/>
          <w:rFonts w:ascii="Times New Roman" w:hAnsi="Times New Roman"/>
          <w:b w:val="false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</w:p>
    <w:p>
      <w:pPr>
        <w:pStyle w:val="Normal"/>
        <w:ind w:hanging="0"/>
        <w:rPr>
          <w:rStyle w:val="Style16"/>
          <w:rFonts w:ascii="Times New Roman" w:hAnsi="Times New Roman"/>
          <w:b w:val="false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</w:p>
    <w:p>
      <w:pPr>
        <w:pStyle w:val="Normal"/>
        <w:ind w:hanging="0"/>
        <w:rPr>
          <w:rStyle w:val="Style16"/>
          <w:rFonts w:ascii="Times New Roman" w:hAnsi="Times New Roman"/>
          <w:b w:val="false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</w:p>
    <w:p>
      <w:pPr>
        <w:pStyle w:val="Normal"/>
        <w:ind w:left="3828" w:firstLine="1417"/>
        <w:jc w:val="center"/>
        <w:rPr>
          <w:rStyle w:val="Style16"/>
          <w:rFonts w:ascii="Times New Roman" w:hAnsi="Times New Roman"/>
          <w:b w:val="false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</w:p>
    <w:p>
      <w:pPr>
        <w:pStyle w:val="Normal"/>
        <w:ind w:left="3828" w:firstLine="1417"/>
        <w:jc w:val="center"/>
        <w:rPr>
          <w:rStyle w:val="Style16"/>
          <w:rFonts w:ascii="Times New Roman" w:hAnsi="Times New Roman"/>
          <w:b w:val="false"/>
          <w:b w:val="false"/>
          <w:bCs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/>
          <w:color w:val="000000"/>
          <w:sz w:val="28"/>
          <w:szCs w:val="28"/>
        </w:rPr>
      </w:r>
    </w:p>
    <w:p>
      <w:pPr>
        <w:pStyle w:val="Normal"/>
        <w:widowControl/>
        <w:ind w:hanging="0"/>
        <w:jc w:val="left"/>
        <w:rPr>
          <w:rFonts w:ascii="Times New Roman" w:hAnsi="Times New Roman"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2925" cy="17526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2.75pt;height:13.8pt;mso-wrap-distance-left:0pt;mso-wrap-distance-right:0pt;mso-wrap-distance-top:0pt;mso-wrap-distance-bottom:0pt;margin-top:0.05pt;mso-position-vertical-relative:text;margin-left:219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25c1d"/>
    <w:pPr>
      <w:widowControl w:val="false"/>
      <w:suppressAutoHyphens w:val="false"/>
      <w:bidi w:val="0"/>
      <w:spacing w:before="0" w:after="0"/>
      <w:ind w:firstLine="720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e46084"/>
    <w:pPr>
      <w:widowControl/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sid w:val="00825c1d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qFormat/>
    <w:rsid w:val="00dc01b2"/>
    <w:rPr/>
  </w:style>
  <w:style w:type="character" w:styleId="Style14" w:customStyle="1">
    <w:name w:val="Текст Знак"/>
    <w:link w:val="a6"/>
    <w:qFormat/>
    <w:rsid w:val="0020460a"/>
    <w:rPr>
      <w:rFonts w:ascii="Courier New" w:hAnsi="Courier New"/>
    </w:rPr>
  </w:style>
  <w:style w:type="character" w:styleId="Style15" w:customStyle="1">
    <w:name w:val="Нижний колонтитул Знак"/>
    <w:link w:val="a8"/>
    <w:qFormat/>
    <w:rsid w:val="00056dc4"/>
    <w:rPr>
      <w:rFonts w:ascii="Arial" w:hAnsi="Arial"/>
      <w:sz w:val="24"/>
      <w:szCs w:val="24"/>
    </w:rPr>
  </w:style>
  <w:style w:type="character" w:styleId="Style16" w:customStyle="1">
    <w:name w:val="Цветовое выделение"/>
    <w:uiPriority w:val="99"/>
    <w:qFormat/>
    <w:rsid w:val="00e97774"/>
    <w:rPr>
      <w:b/>
      <w:bCs w:val="false"/>
      <w:color w:val="26282F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rsid w:val="00dc01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PlainText">
    <w:name w:val="Plain Text"/>
    <w:basedOn w:val="Normal"/>
    <w:link w:val="a7"/>
    <w:unhideWhenUsed/>
    <w:qFormat/>
    <w:rsid w:val="0020460a"/>
    <w:pPr>
      <w:widowControl/>
      <w:ind w:hanging="0"/>
      <w:jc w:val="left"/>
    </w:pPr>
    <w:rPr>
      <w:rFonts w:ascii="Courier New" w:hAnsi="Courier New"/>
      <w:sz w:val="20"/>
      <w:szCs w:val="20"/>
    </w:rPr>
  </w:style>
  <w:style w:type="paragraph" w:styleId="Style24">
    <w:name w:val="Footer"/>
    <w:basedOn w:val="Normal"/>
    <w:link w:val="a9"/>
    <w:rsid w:val="00056dc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LibreOffice/7.1.1.2$Windows_X86_64 LibreOffice_project/fe0b08f4af1bacafe4c7ecc87ce55bb426164676</Application>
  <AppVersion>15.0000</AppVersion>
  <Pages>5</Pages>
  <Words>1260</Words>
  <Characters>9589</Characters>
  <CharactersWithSpaces>10890</CharactersWithSpaces>
  <Paragraphs>54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2021-07-21T07:04:00Z</dcterms:created>
  <dc:creator>_Garitko</dc:creator>
  <dc:description/>
  <dc:language>ru-RU</dc:language>
  <cp:lastModifiedBy/>
  <cp:lastPrinted>2021-07-21T07:04:00Z</cp:lastPrinted>
  <dcterms:modified xsi:type="dcterms:W3CDTF">2021-07-22T08:29:42Z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